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E3E" w:rsidRDefault="00382C48" w:rsidP="004E1E3E">
      <w:pPr>
        <w:pStyle w:val="Nadpis1"/>
      </w:pPr>
      <w:r>
        <w:t xml:space="preserve">Příloha K6T4 – </w:t>
      </w:r>
      <w:r w:rsidR="004E1E3E">
        <w:t>Evidence rozvojových potřeb dopravní infrastruktury</w:t>
      </w:r>
    </w:p>
    <w:p w:rsidR="004E1E3E" w:rsidRPr="004A2928" w:rsidRDefault="004E1E3E" w:rsidP="004E1E3E">
      <w:pPr>
        <w:rPr>
          <w:rFonts w:cstheme="minorHAnsi"/>
        </w:rPr>
      </w:pPr>
      <w:r>
        <w:rPr>
          <w:rFonts w:cstheme="minorHAnsi"/>
        </w:rPr>
        <w:t>Klastry jsou definovány na základě jejich dopravní funkce a ne na základě stavu jejich realizace. To znamená, že jsou nadefinovány i v těch případech, kdy jsou již vybudovány nebo modernizovány, kdy jsou v přípravě, nebo existují jako ideový záměr (námět). Rozvojové potřeby</w:t>
      </w:r>
      <w:r w:rsidRPr="004A2928">
        <w:rPr>
          <w:rFonts w:cstheme="minorHAnsi"/>
        </w:rPr>
        <w:t xml:space="preserve"> jsou </w:t>
      </w:r>
      <w:r>
        <w:rPr>
          <w:rFonts w:cstheme="minorHAnsi"/>
        </w:rPr>
        <w:t xml:space="preserve">proto </w:t>
      </w:r>
      <w:r w:rsidRPr="004A2928">
        <w:rPr>
          <w:rFonts w:cstheme="minorHAnsi"/>
        </w:rPr>
        <w:t>členěny dle svých charakteristik do tří skupin:</w:t>
      </w:r>
    </w:p>
    <w:p w:rsidR="004E1E3E" w:rsidRPr="004A2928" w:rsidRDefault="004E1E3E" w:rsidP="004E1E3E">
      <w:pPr>
        <w:pStyle w:val="Odstavecseseznamem"/>
        <w:numPr>
          <w:ilvl w:val="0"/>
          <w:numId w:val="2"/>
        </w:numPr>
        <w:spacing w:before="120"/>
        <w:ind w:left="714" w:hanging="357"/>
        <w:contextualSpacing w:val="0"/>
        <w:rPr>
          <w:rFonts w:cstheme="minorHAnsi"/>
        </w:rPr>
      </w:pPr>
      <w:r>
        <w:rPr>
          <w:rFonts w:cstheme="minorHAnsi"/>
          <w:b/>
        </w:rPr>
        <w:t>Z</w:t>
      </w:r>
      <w:r w:rsidRPr="00487FFE">
        <w:rPr>
          <w:rFonts w:cstheme="minorHAnsi"/>
          <w:b/>
        </w:rPr>
        <w:t>ákladních potřeb</w:t>
      </w:r>
      <w:r>
        <w:rPr>
          <w:rFonts w:cstheme="minorHAnsi"/>
          <w:b/>
        </w:rPr>
        <w:t>y</w:t>
      </w:r>
      <w:r w:rsidRPr="004A2928">
        <w:rPr>
          <w:rFonts w:cstheme="minorHAnsi"/>
        </w:rPr>
        <w:t xml:space="preserve"> </w:t>
      </w:r>
      <w:r>
        <w:rPr>
          <w:rFonts w:cstheme="minorHAnsi"/>
        </w:rPr>
        <w:t>je zajištění</w:t>
      </w:r>
      <w:r w:rsidRPr="004A2928">
        <w:rPr>
          <w:rFonts w:cstheme="minorHAnsi"/>
        </w:rPr>
        <w:t xml:space="preserve"> „klasické“ infrastruktury takových parametrů, aby všechny regiony ITI mohly plnit své základní funkce. Jde o zajištění spojení konvenční železnicí v konkurenceschopné podobě z hlediska cestovních dob a kapacity a o silniční spojení odpovídající kapacity a vedení trasy mimo </w:t>
      </w:r>
      <w:proofErr w:type="spellStart"/>
      <w:r w:rsidRPr="004A2928">
        <w:rPr>
          <w:rFonts w:cstheme="minorHAnsi"/>
        </w:rPr>
        <w:t>intravilány</w:t>
      </w:r>
      <w:proofErr w:type="spellEnd"/>
      <w:r w:rsidRPr="004A2928">
        <w:rPr>
          <w:rFonts w:cstheme="minorHAnsi"/>
        </w:rPr>
        <w:t xml:space="preserve"> obcí.</w:t>
      </w:r>
    </w:p>
    <w:p w:rsidR="004E1E3E" w:rsidRDefault="004E1E3E" w:rsidP="004E1E3E">
      <w:pPr>
        <w:pStyle w:val="Odstavecseseznamem"/>
        <w:numPr>
          <w:ilvl w:val="0"/>
          <w:numId w:val="2"/>
        </w:numPr>
        <w:spacing w:before="120"/>
        <w:ind w:left="714" w:hanging="357"/>
        <w:contextualSpacing w:val="0"/>
        <w:rPr>
          <w:rFonts w:cstheme="minorHAnsi"/>
        </w:rPr>
      </w:pPr>
      <w:r>
        <w:rPr>
          <w:rFonts w:cstheme="minorHAnsi"/>
          <w:b/>
        </w:rPr>
        <w:t>C</w:t>
      </w:r>
      <w:r w:rsidRPr="00487FFE">
        <w:rPr>
          <w:rFonts w:cstheme="minorHAnsi"/>
          <w:b/>
        </w:rPr>
        <w:t>ílové</w:t>
      </w:r>
      <w:r>
        <w:rPr>
          <w:rFonts w:cstheme="minorHAnsi"/>
          <w:b/>
        </w:rPr>
        <w:t xml:space="preserve"> potřeby</w:t>
      </w:r>
      <w:r w:rsidRPr="00487FFE">
        <w:rPr>
          <w:rFonts w:cstheme="minorHAnsi"/>
          <w:b/>
        </w:rPr>
        <w:t xml:space="preserve"> </w:t>
      </w:r>
      <w:r w:rsidRPr="004A2928">
        <w:rPr>
          <w:rFonts w:cstheme="minorHAnsi"/>
        </w:rPr>
        <w:t>j</w:t>
      </w:r>
      <w:r>
        <w:rPr>
          <w:rFonts w:cstheme="minorHAnsi"/>
        </w:rPr>
        <w:t>e</w:t>
      </w:r>
      <w:r w:rsidRPr="004A2928">
        <w:rPr>
          <w:rFonts w:cstheme="minorHAnsi"/>
        </w:rPr>
        <w:t xml:space="preserve"> </w:t>
      </w:r>
      <w:r>
        <w:rPr>
          <w:rFonts w:cstheme="minorHAnsi"/>
        </w:rPr>
        <w:t>zajištění</w:t>
      </w:r>
      <w:r w:rsidRPr="004A2928">
        <w:rPr>
          <w:rFonts w:cstheme="minorHAnsi"/>
        </w:rPr>
        <w:t xml:space="preserve"> dalšího významného zkvalitnění dopravního spojení nad rámec základních potřeb, které umožní zvýšit konkurenceschopnost příslušného regionu ve smyslu plnění funkce „pól růstu“. Jde například o budování vysokorychlostních železničních tratí nebo dalších silničních komunikacích umožňujících další rozšíření nabídky služeb.</w:t>
      </w:r>
    </w:p>
    <w:p w:rsidR="004E1E3E" w:rsidRPr="004A2928" w:rsidRDefault="004E1E3E" w:rsidP="004E1E3E">
      <w:pPr>
        <w:pStyle w:val="Odstavecseseznamem"/>
        <w:numPr>
          <w:ilvl w:val="0"/>
          <w:numId w:val="2"/>
        </w:numPr>
        <w:spacing w:before="120"/>
        <w:ind w:left="714" w:hanging="357"/>
        <w:contextualSpacing w:val="0"/>
        <w:rPr>
          <w:rFonts w:cstheme="minorHAnsi"/>
        </w:rPr>
      </w:pPr>
      <w:r>
        <w:rPr>
          <w:rFonts w:cstheme="minorHAnsi"/>
          <w:b/>
        </w:rPr>
        <w:t>D</w:t>
      </w:r>
      <w:r w:rsidRPr="00487FFE">
        <w:rPr>
          <w:rFonts w:cstheme="minorHAnsi"/>
          <w:b/>
        </w:rPr>
        <w:t>oplňkov</w:t>
      </w:r>
      <w:r>
        <w:rPr>
          <w:rFonts w:cstheme="minorHAnsi"/>
          <w:b/>
        </w:rPr>
        <w:t>é</w:t>
      </w:r>
      <w:r w:rsidRPr="00487FFE">
        <w:rPr>
          <w:rFonts w:cstheme="minorHAnsi"/>
          <w:b/>
        </w:rPr>
        <w:t xml:space="preserve"> potřeb</w:t>
      </w:r>
      <w:r>
        <w:rPr>
          <w:rFonts w:cstheme="minorHAnsi"/>
          <w:b/>
        </w:rPr>
        <w:t>y</w:t>
      </w:r>
      <w:r w:rsidRPr="004A2928">
        <w:rPr>
          <w:rFonts w:cstheme="minorHAnsi"/>
        </w:rPr>
        <w:t xml:space="preserve"> jsou </w:t>
      </w:r>
      <w:r>
        <w:rPr>
          <w:rFonts w:cstheme="minorHAnsi"/>
        </w:rPr>
        <w:t>další záměry</w:t>
      </w:r>
      <w:r w:rsidRPr="004A2928">
        <w:rPr>
          <w:rFonts w:cstheme="minorHAnsi"/>
        </w:rPr>
        <w:t>, které dále dílčím způsobem zlepšují stav odstraňováním úzkých míst z hlediska rychlosti nebo kapacity nebo další nabídky služeb v rámci již realizovaných klastrů základních potřeb nebo zajišťující příslušné propojení alternativním způsobem.</w:t>
      </w:r>
    </w:p>
    <w:p w:rsidR="004E1E3E" w:rsidRPr="00A24155" w:rsidRDefault="004E1E3E" w:rsidP="004E1E3E">
      <w:pPr>
        <w:pStyle w:val="Nadpis2"/>
        <w:spacing w:before="40" w:after="0" w:line="259" w:lineRule="auto"/>
      </w:pPr>
      <w:bookmarkStart w:id="0" w:name="_Toc113018533"/>
      <w:bookmarkStart w:id="1" w:name="_Toc129358034"/>
      <w:r>
        <w:t>Evidence potřeb</w:t>
      </w:r>
      <w:r w:rsidRPr="00A24155">
        <w:t xml:space="preserve"> na </w:t>
      </w:r>
      <w:r w:rsidRPr="00F244F1">
        <w:t>bázi</w:t>
      </w:r>
      <w:r w:rsidRPr="00A24155">
        <w:t xml:space="preserve"> pilířů</w:t>
      </w:r>
      <w:bookmarkEnd w:id="0"/>
      <w:bookmarkEnd w:id="1"/>
    </w:p>
    <w:p w:rsidR="004E1E3E" w:rsidRDefault="004E1E3E" w:rsidP="004E1E3E">
      <w:r>
        <w:t>Evidence potřeb vychází z následujících pilířů:</w:t>
      </w:r>
    </w:p>
    <w:p w:rsidR="004E1E3E" w:rsidRDefault="004E1E3E" w:rsidP="004E1E3E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</w:pPr>
      <w:r w:rsidRPr="00EB5B5A">
        <w:rPr>
          <w:b/>
        </w:rPr>
        <w:t>Pilíř závazkový</w:t>
      </w:r>
      <w:r>
        <w:t>, kde jde o splnění povinností vůči evropské politice TEN-T, a to k létům 2030, 2040 a 2050.</w:t>
      </w:r>
    </w:p>
    <w:p w:rsidR="004E1E3E" w:rsidRDefault="004E1E3E" w:rsidP="004E1E3E">
      <w:pPr>
        <w:pStyle w:val="Odstavecseseznamem"/>
        <w:numPr>
          <w:ilvl w:val="0"/>
          <w:numId w:val="6"/>
        </w:numPr>
        <w:spacing w:before="120" w:after="0" w:line="276" w:lineRule="auto"/>
        <w:ind w:left="714" w:hanging="357"/>
        <w:contextualSpacing w:val="0"/>
      </w:pPr>
      <w:r w:rsidRPr="00EB5B5A">
        <w:rPr>
          <w:b/>
        </w:rPr>
        <w:t>Pilíř regionálních potřeb</w:t>
      </w:r>
      <w:r>
        <w:t xml:space="preserve"> k zajištění srovnatelných parametrů dopravní infrastruktury pro jednotlivé regiony, přičemž velikost regionu či území ITI by neměl být hlavním faktorem, nýbrž tímto faktorem by měl být současný stav dopravní infrastruktury.</w:t>
      </w:r>
    </w:p>
    <w:p w:rsidR="004E1E3E" w:rsidRDefault="004E1E3E" w:rsidP="004E1E3E">
      <w:pPr>
        <w:pStyle w:val="Odstavecseseznamem"/>
        <w:numPr>
          <w:ilvl w:val="0"/>
          <w:numId w:val="6"/>
        </w:numPr>
        <w:spacing w:before="120" w:after="120" w:line="276" w:lineRule="auto"/>
        <w:ind w:left="714" w:hanging="357"/>
        <w:contextualSpacing w:val="0"/>
      </w:pPr>
      <w:r>
        <w:rPr>
          <w:b/>
        </w:rPr>
        <w:t>Pilíř dalších potřeb</w:t>
      </w:r>
      <w:r>
        <w:t xml:space="preserve"> bude zaměřen na další projekty regionálního významu.</w:t>
      </w:r>
    </w:p>
    <w:p w:rsidR="004E1E3E" w:rsidRPr="00743826" w:rsidRDefault="004E1E3E" w:rsidP="004E1E3E">
      <w:pPr>
        <w:pStyle w:val="Nadpis3"/>
        <w:spacing w:before="120" w:after="120" w:line="259" w:lineRule="auto"/>
      </w:pPr>
      <w:bookmarkStart w:id="2" w:name="_Toc113018534"/>
      <w:bookmarkStart w:id="3" w:name="_Toc129358035"/>
      <w:r w:rsidRPr="00743826">
        <w:t>Závazkový pilíř</w:t>
      </w:r>
      <w:bookmarkEnd w:id="2"/>
      <w:bookmarkEnd w:id="3"/>
    </w:p>
    <w:p w:rsidR="004E1E3E" w:rsidRDefault="004E1E3E" w:rsidP="004E1E3E">
      <w:r>
        <w:t xml:space="preserve">Na základě </w:t>
      </w:r>
      <w:r w:rsidRPr="00EB5B5A">
        <w:rPr>
          <w:b/>
        </w:rPr>
        <w:t>závazkového pilíře</w:t>
      </w:r>
      <w:r>
        <w:t xml:space="preserve"> bude nutné</w:t>
      </w:r>
      <w:r w:rsidR="008930E7">
        <w:t xml:space="preserve"> dle nařízení o TEN-T</w:t>
      </w:r>
      <w:r>
        <w:t xml:space="preserve"> zprovoznit v požadovaných časových horizontech následující projekty: </w:t>
      </w:r>
    </w:p>
    <w:p w:rsidR="004E1E3E" w:rsidRPr="00532E1C" w:rsidRDefault="004E1E3E" w:rsidP="004E1E3E">
      <w:pPr>
        <w:pStyle w:val="Odstavecseseznamem"/>
        <w:numPr>
          <w:ilvl w:val="0"/>
          <w:numId w:val="7"/>
        </w:numPr>
        <w:spacing w:before="120" w:after="0" w:line="276" w:lineRule="auto"/>
        <w:contextualSpacing w:val="0"/>
        <w:rPr>
          <w:b/>
        </w:rPr>
      </w:pPr>
      <w:r w:rsidRPr="00532E1C">
        <w:rPr>
          <w:b/>
        </w:rPr>
        <w:t>do roku 2030: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VRT Praha – Lovosice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VRT Praha – Brno s výjimkou úseku Světlá n/S – Vlkov (Velká Bíteš)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 xml:space="preserve">Modernizace trati Světlá nad Sázavou – Vlkov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Modernizace trati Kolín – Děčín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Modernizace trati Brno – Přerov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Optimalizace Praha-Smíchov – Beroun, stávající trať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lastRenderedPageBreak/>
        <w:t>Modernizace trati Plzeň – Česká Kubice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 xml:space="preserve">Modernizace trati Hranice </w:t>
      </w:r>
      <w:proofErr w:type="spellStart"/>
      <w:proofErr w:type="gramStart"/>
      <w:r>
        <w:t>n.M.</w:t>
      </w:r>
      <w:proofErr w:type="spellEnd"/>
      <w:proofErr w:type="gramEnd"/>
      <w:r>
        <w:t xml:space="preserve"> – Horní Lideč st. hr.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proofErr w:type="spellStart"/>
      <w:r>
        <w:t>Zdvoukolejnění</w:t>
      </w:r>
      <w:proofErr w:type="spellEnd"/>
      <w:r>
        <w:t xml:space="preserve"> tratě Velký Osek - Choceň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Dostavba dálnice D0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Dostavba dálnice D11 Jaroměř – Královec st. hr.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Dostavba dálnice D1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Dostavba dálnice D52 Pohořelice – Mikulov st. hr.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Dostavba silničního tahu č. 49 Hulín – Horní Lideč st. hr.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Zlepšení plavebních podmínek v přeshraničním úseku Labe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Splavnění Labe do Pardubic</w:t>
      </w:r>
    </w:p>
    <w:p w:rsidR="004E1E3E" w:rsidRPr="00532E1C" w:rsidRDefault="004E1E3E" w:rsidP="004E1E3E">
      <w:pPr>
        <w:pStyle w:val="Odstavecseseznamem"/>
        <w:numPr>
          <w:ilvl w:val="0"/>
          <w:numId w:val="8"/>
        </w:numPr>
        <w:spacing w:before="120" w:after="0" w:line="276" w:lineRule="auto"/>
        <w:contextualSpacing w:val="0"/>
        <w:rPr>
          <w:b/>
        </w:rPr>
      </w:pPr>
      <w:r w:rsidRPr="00532E1C">
        <w:rPr>
          <w:b/>
        </w:rPr>
        <w:t>do roku 2040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VRT Světlá nad Sázavou – Vlkov (Velká Bíteš)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 xml:space="preserve">VRT Ústí nad Labem – </w:t>
      </w:r>
      <w:proofErr w:type="spellStart"/>
      <w:r>
        <w:t>Dresden</w:t>
      </w:r>
      <w:proofErr w:type="spellEnd"/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VRT Přerov – Ostrava – Státní hranice s Polskem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Zajištění provozu vlaků délky 740 m na tratích:</w:t>
      </w:r>
    </w:p>
    <w:p w:rsidR="004E1E3E" w:rsidRDefault="004E1E3E" w:rsidP="004E1E3E">
      <w:pPr>
        <w:pStyle w:val="Odstavecseseznamem"/>
        <w:numPr>
          <w:ilvl w:val="2"/>
          <w:numId w:val="10"/>
        </w:numPr>
        <w:spacing w:after="60"/>
        <w:contextualSpacing w:val="0"/>
      </w:pPr>
      <w:r>
        <w:t>Praha – Lovosice</w:t>
      </w:r>
    </w:p>
    <w:p w:rsidR="004E1E3E" w:rsidRDefault="004E1E3E" w:rsidP="004E1E3E">
      <w:pPr>
        <w:pStyle w:val="Odstavecseseznamem"/>
        <w:numPr>
          <w:ilvl w:val="2"/>
          <w:numId w:val="10"/>
        </w:numPr>
        <w:spacing w:after="60"/>
        <w:contextualSpacing w:val="0"/>
      </w:pPr>
      <w:r>
        <w:t>Praha – Kolín – Choceň</w:t>
      </w:r>
    </w:p>
    <w:p w:rsidR="004E1E3E" w:rsidRDefault="004E1E3E" w:rsidP="004E1E3E">
      <w:pPr>
        <w:pStyle w:val="Odstavecseseznamem"/>
        <w:numPr>
          <w:ilvl w:val="2"/>
          <w:numId w:val="10"/>
        </w:numPr>
        <w:spacing w:after="60"/>
        <w:contextualSpacing w:val="0"/>
      </w:pPr>
      <w:r>
        <w:t>Ústí n/O – Lichkov st. hr.</w:t>
      </w:r>
    </w:p>
    <w:p w:rsidR="004E1E3E" w:rsidRDefault="004E1E3E" w:rsidP="004E1E3E">
      <w:pPr>
        <w:pStyle w:val="Odstavecseseznamem"/>
        <w:numPr>
          <w:ilvl w:val="2"/>
          <w:numId w:val="10"/>
        </w:numPr>
        <w:spacing w:after="60"/>
        <w:contextualSpacing w:val="0"/>
      </w:pPr>
      <w:r>
        <w:t xml:space="preserve">Kolín – Havlíčkův Brod – Brno </w:t>
      </w:r>
    </w:p>
    <w:p w:rsidR="004E1E3E" w:rsidRPr="00532E1C" w:rsidRDefault="004E1E3E" w:rsidP="004E1E3E">
      <w:pPr>
        <w:pStyle w:val="Odstavecseseznamem"/>
        <w:numPr>
          <w:ilvl w:val="0"/>
          <w:numId w:val="8"/>
        </w:numPr>
        <w:spacing w:before="120" w:after="0" w:line="276" w:lineRule="auto"/>
        <w:contextualSpacing w:val="0"/>
        <w:rPr>
          <w:b/>
        </w:rPr>
      </w:pPr>
      <w:r w:rsidRPr="00532E1C">
        <w:rPr>
          <w:b/>
        </w:rPr>
        <w:t>do roku 2050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VRT Lovosice – Ústí n/L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 xml:space="preserve">VRT Praha – </w:t>
      </w:r>
      <w:proofErr w:type="spellStart"/>
      <w:r>
        <w:t>Wroclaw</w:t>
      </w:r>
      <w:proofErr w:type="spellEnd"/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Trať Nemanice – Ševětín, novostavba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Optimalizace tratí: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before="120" w:after="0"/>
        <w:contextualSpacing w:val="0"/>
      </w:pPr>
      <w:r>
        <w:t>České Velenice – České Budějovice – Plzeň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before="120" w:after="0"/>
        <w:contextualSpacing w:val="0"/>
      </w:pPr>
      <w:r>
        <w:t>Ústí nad Labem – Cheb st. hr.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D35 Jičín Úlibice – Hradec Králové – Mohelnice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I/35 Jičín Úlibice – Turnov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D6 Krušovice – Karlovy Vary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I/73 Brno – Moravská Třebová (D35)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D55 Olomouc – Přerov, Otrokovice – Břeclav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D3 středočeská část, přeshraniční část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I/33 Jaroměř – Náchod st. hr.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I/50 Holubice – Starý Hrozenkov st. hr.</w:t>
      </w:r>
    </w:p>
    <w:p w:rsidR="004E1E3E" w:rsidRDefault="004E1E3E" w:rsidP="004E1E3E">
      <w:pPr>
        <w:pStyle w:val="Odstavecseseznamem"/>
        <w:numPr>
          <w:ilvl w:val="1"/>
          <w:numId w:val="9"/>
        </w:numPr>
        <w:ind w:left="993" w:hanging="284"/>
        <w:contextualSpacing w:val="0"/>
      </w:pPr>
      <w:r>
        <w:t>Nová trať Praha – Beroun</w:t>
      </w:r>
    </w:p>
    <w:p w:rsidR="004E1E3E" w:rsidRPr="00584B5C" w:rsidRDefault="004E1E3E" w:rsidP="004E1E3E">
      <w:pPr>
        <w:pStyle w:val="Titulek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0288" behindDoc="0" locked="0" layoutInCell="1" allowOverlap="1" wp14:anchorId="4938977F" wp14:editId="1B18AC32">
            <wp:simplePos x="0" y="0"/>
            <wp:positionH relativeFrom="page">
              <wp:align>center</wp:align>
            </wp:positionH>
            <wp:positionV relativeFrom="paragraph">
              <wp:posOffset>238760</wp:posOffset>
            </wp:positionV>
            <wp:extent cx="5181600" cy="3181350"/>
            <wp:effectExtent l="0" t="0" r="0" b="0"/>
            <wp:wrapTopAndBottom/>
            <wp:docPr id="19" name="Obrázek 19" descr="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 xml:space="preserve"> </w:t>
      </w:r>
      <w:r w:rsidRPr="00584B5C">
        <w:t>Transevropská dopravní síť</w:t>
      </w:r>
      <w:r>
        <w:t xml:space="preserve"> </w:t>
      </w:r>
    </w:p>
    <w:p w:rsidR="004E1E3E" w:rsidRDefault="004E1E3E" w:rsidP="004E1E3E">
      <w:pPr>
        <w:jc w:val="center"/>
      </w:pPr>
    </w:p>
    <w:p w:rsidR="004E1E3E" w:rsidRPr="00743826" w:rsidRDefault="004E1E3E" w:rsidP="004E1E3E">
      <w:pPr>
        <w:pStyle w:val="Nadpis3"/>
        <w:spacing w:before="120" w:after="120" w:line="259" w:lineRule="auto"/>
      </w:pPr>
      <w:bookmarkStart w:id="4" w:name="_Toc113018535"/>
      <w:bookmarkStart w:id="5" w:name="_Toc129358036"/>
      <w:r w:rsidRPr="00743826">
        <w:t>Pilíř regionálních potřeb</w:t>
      </w:r>
      <w:bookmarkEnd w:id="4"/>
      <w:bookmarkEnd w:id="5"/>
    </w:p>
    <w:p w:rsidR="004E1E3E" w:rsidRDefault="004E1E3E" w:rsidP="004E1E3E">
      <w:r>
        <w:t xml:space="preserve">Z hlediska </w:t>
      </w:r>
      <w:r w:rsidRPr="00EB5B5A">
        <w:rPr>
          <w:b/>
        </w:rPr>
        <w:t>pilíře regionálních potřeb</w:t>
      </w:r>
      <w:r>
        <w:rPr>
          <w:b/>
        </w:rPr>
        <w:t xml:space="preserve"> </w:t>
      </w:r>
      <w:r>
        <w:t>bude nutné zajistit následující priority, a to jako etapy realizace dopravní infrastruktury:</w:t>
      </w:r>
    </w:p>
    <w:p w:rsidR="004E1E3E" w:rsidRPr="00743826" w:rsidRDefault="004E1E3E" w:rsidP="004E1E3E">
      <w:pPr>
        <w:pStyle w:val="Odstavecseseznamem"/>
        <w:numPr>
          <w:ilvl w:val="0"/>
          <w:numId w:val="3"/>
        </w:numPr>
        <w:ind w:left="425" w:hanging="357"/>
        <w:contextualSpacing w:val="0"/>
        <w:rPr>
          <w:b/>
        </w:rPr>
      </w:pPr>
      <w:r w:rsidRPr="00EB5B5A">
        <w:rPr>
          <w:b/>
        </w:rPr>
        <w:t>Základní potřeby</w:t>
      </w:r>
      <w:r w:rsidRPr="00743826">
        <w:rPr>
          <w:b/>
        </w:rPr>
        <w:t xml:space="preserve"> </w:t>
      </w:r>
      <w:r w:rsidRPr="00743826">
        <w:t>(dokončení „klasické“ infrastruktury tak aby všechny regiony ITI mohly plnit své základní funkce)</w:t>
      </w:r>
    </w:p>
    <w:p w:rsidR="004E1E3E" w:rsidRDefault="004E1E3E" w:rsidP="004E1E3E">
      <w:pPr>
        <w:pStyle w:val="Odstavecseseznamem"/>
        <w:numPr>
          <w:ilvl w:val="0"/>
          <w:numId w:val="3"/>
        </w:numPr>
        <w:ind w:left="425" w:hanging="357"/>
        <w:contextualSpacing w:val="0"/>
      </w:pPr>
      <w:r w:rsidRPr="00EB5B5A">
        <w:rPr>
          <w:b/>
        </w:rPr>
        <w:t>Cílové potřeby</w:t>
      </w:r>
      <w:r>
        <w:t xml:space="preserve"> (dokončení „modernizované“ infrastruktury tak, aby všechny regiony ITI mohly plnit své funkce jako „póly růstu“)</w:t>
      </w:r>
    </w:p>
    <w:p w:rsidR="004E1E3E" w:rsidRDefault="004E1E3E" w:rsidP="004E1E3E">
      <w:r>
        <w:t>Pilíř regionálních potřeb je řešen v následujících 8 prioritách:</w:t>
      </w:r>
    </w:p>
    <w:p w:rsidR="004E1E3E" w:rsidRDefault="004E1E3E" w:rsidP="004E1E3E">
      <w:pPr>
        <w:pStyle w:val="Odstavecseseznamem"/>
        <w:numPr>
          <w:ilvl w:val="0"/>
          <w:numId w:val="4"/>
        </w:numPr>
        <w:spacing w:before="120" w:after="0" w:line="276" w:lineRule="auto"/>
        <w:ind w:left="714" w:hanging="357"/>
        <w:contextualSpacing w:val="0"/>
      </w:pPr>
      <w:r>
        <w:t>Zajištění napojení ČR na aglomerace a metropole sousedních států</w:t>
      </w:r>
    </w:p>
    <w:p w:rsidR="004E1E3E" w:rsidRDefault="004E1E3E" w:rsidP="004E1E3E">
      <w:pPr>
        <w:pStyle w:val="Odstavecseseznamem"/>
        <w:numPr>
          <w:ilvl w:val="0"/>
          <w:numId w:val="4"/>
        </w:numPr>
        <w:spacing w:before="120" w:after="0" w:line="276" w:lineRule="auto"/>
        <w:ind w:left="714" w:hanging="357"/>
        <w:contextualSpacing w:val="0"/>
      </w:pPr>
      <w:r>
        <w:t>Propojení metropolí v rámci ČR</w:t>
      </w:r>
    </w:p>
    <w:p w:rsidR="004E1E3E" w:rsidRDefault="004E1E3E" w:rsidP="004E1E3E">
      <w:pPr>
        <w:pStyle w:val="Odstavecseseznamem"/>
        <w:numPr>
          <w:ilvl w:val="0"/>
          <w:numId w:val="4"/>
        </w:numPr>
        <w:spacing w:before="120" w:after="0" w:line="276" w:lineRule="auto"/>
        <w:ind w:left="714" w:hanging="357"/>
        <w:contextualSpacing w:val="0"/>
      </w:pPr>
      <w:r>
        <w:t>Zajištění dopravní infrastruktury pro nákladní dopravu (železnice, voda)</w:t>
      </w:r>
    </w:p>
    <w:p w:rsidR="004E1E3E" w:rsidRDefault="004E1E3E" w:rsidP="004E1E3E">
      <w:pPr>
        <w:pStyle w:val="Odstavecseseznamem"/>
        <w:numPr>
          <w:ilvl w:val="0"/>
          <w:numId w:val="4"/>
        </w:numPr>
        <w:spacing w:before="120" w:after="0" w:line="276" w:lineRule="auto"/>
        <w:ind w:left="714" w:hanging="357"/>
        <w:contextualSpacing w:val="0"/>
      </w:pPr>
      <w:r>
        <w:t>Propojení aglomerací na spádové metropole</w:t>
      </w:r>
    </w:p>
    <w:p w:rsidR="004E1E3E" w:rsidRDefault="004E1E3E" w:rsidP="004E1E3E">
      <w:pPr>
        <w:pStyle w:val="Odstavecseseznamem"/>
        <w:numPr>
          <w:ilvl w:val="0"/>
          <w:numId w:val="4"/>
        </w:numPr>
        <w:spacing w:before="120" w:after="0" w:line="276" w:lineRule="auto"/>
        <w:ind w:left="714" w:hanging="357"/>
        <w:contextualSpacing w:val="0"/>
      </w:pPr>
      <w:r>
        <w:t>Zajištění příměstských vztahů metropolí</w:t>
      </w:r>
    </w:p>
    <w:p w:rsidR="004E1E3E" w:rsidRDefault="004E1E3E" w:rsidP="004E1E3E">
      <w:pPr>
        <w:pStyle w:val="Odstavecseseznamem"/>
        <w:numPr>
          <w:ilvl w:val="0"/>
          <w:numId w:val="4"/>
        </w:numPr>
        <w:spacing w:before="120" w:after="0" w:line="276" w:lineRule="auto"/>
        <w:ind w:left="714" w:hanging="357"/>
        <w:contextualSpacing w:val="0"/>
      </w:pPr>
      <w:r>
        <w:t>Vzájemné propojení sousedních aglomerací</w:t>
      </w:r>
    </w:p>
    <w:p w:rsidR="004E1E3E" w:rsidRDefault="004E1E3E" w:rsidP="004E1E3E">
      <w:pPr>
        <w:pStyle w:val="Odstavecseseznamem"/>
        <w:numPr>
          <w:ilvl w:val="0"/>
          <w:numId w:val="4"/>
        </w:numPr>
        <w:spacing w:before="120" w:after="0" w:line="276" w:lineRule="auto"/>
        <w:ind w:left="714" w:hanging="357"/>
        <w:contextualSpacing w:val="0"/>
      </w:pPr>
      <w:r>
        <w:t>Další mezinárodní vztahy včetně napojení odlehlých regionů</w:t>
      </w:r>
    </w:p>
    <w:p w:rsidR="004E1E3E" w:rsidRDefault="004E1E3E" w:rsidP="004E1E3E">
      <w:pPr>
        <w:pStyle w:val="Odstavecseseznamem"/>
        <w:numPr>
          <w:ilvl w:val="0"/>
          <w:numId w:val="4"/>
        </w:numPr>
        <w:spacing w:before="120" w:after="0" w:line="276" w:lineRule="auto"/>
        <w:ind w:left="714" w:hanging="357"/>
        <w:contextualSpacing w:val="0"/>
      </w:pPr>
      <w:r>
        <w:t>Zajištění příměstských vztahů u hlavních center aglomerací</w:t>
      </w:r>
    </w:p>
    <w:p w:rsidR="004E1E3E" w:rsidRPr="00F2619D" w:rsidRDefault="004E1E3E" w:rsidP="004E1E3E">
      <w:pPr>
        <w:rPr>
          <w:b/>
        </w:rPr>
      </w:pPr>
      <w:r w:rsidRPr="00F2619D">
        <w:rPr>
          <w:b/>
        </w:rPr>
        <w:t>Priorita 1 a 2 jsou zajištěny pomocí závazkového pilíře a v další části proto nejsou řešeny.</w:t>
      </w:r>
    </w:p>
    <w:p w:rsidR="004E1E3E" w:rsidRPr="00F2619D" w:rsidRDefault="004E1E3E" w:rsidP="004E1E3E">
      <w:pPr>
        <w:spacing w:before="160" w:after="120"/>
        <w:rPr>
          <w:rFonts w:cstheme="minorHAnsi"/>
          <w:b/>
        </w:rPr>
      </w:pPr>
      <w:r w:rsidRPr="00F2619D">
        <w:rPr>
          <w:rFonts w:cstheme="minorHAnsi"/>
          <w:b/>
        </w:rPr>
        <w:t>Priorita 3 - Zajištění dopravní infrastruktury pro nákladní dopravu (železnice, voda)</w:t>
      </w:r>
    </w:p>
    <w:p w:rsidR="004E1E3E" w:rsidRDefault="004E1E3E" w:rsidP="004E1E3E">
      <w:r>
        <w:lastRenderedPageBreak/>
        <w:t>Rozhodující část projektů železniční nákladní dopravy a vodní dopravy jsou určeny závazkovým pilířem v rámci sítě TEN-T. Nad tento rámec je nutné doplnit následující projekty, které jsou důležité k zajištění obsluhy velkých průmyslových celků: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Velký Osek – Choceň (zatím není součástí schváleného nařízení TEN-T, byť je součástí návrhu kompromisu po jednání Rady EK)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 xml:space="preserve">Zkapacitnění a elektrizace tratě Nymburk – Mladá Boleslav a Čachovice – Lysá n/L (novostavba) vč. nové stanice v Mladé Boleslavi a </w:t>
      </w:r>
      <w:proofErr w:type="spellStart"/>
      <w:r>
        <w:t>Bezděčínské</w:t>
      </w:r>
      <w:proofErr w:type="spellEnd"/>
      <w:r>
        <w:t xml:space="preserve"> spojky (zatím není součástí schváleného nařízení TEN-T, byť je součástí návrhu kompromisu po jednání Rady EK)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after="60"/>
        <w:ind w:left="993" w:hanging="284"/>
        <w:contextualSpacing w:val="0"/>
      </w:pPr>
      <w:r>
        <w:t>Elektrizace a zvýšení kapacity tratě Týniště nad Orlicí – Solnice</w:t>
      </w:r>
    </w:p>
    <w:p w:rsidR="004E1E3E" w:rsidRPr="00F2619D" w:rsidRDefault="004E1E3E" w:rsidP="004E1E3E">
      <w:pPr>
        <w:spacing w:before="160" w:after="120"/>
        <w:rPr>
          <w:rFonts w:cstheme="minorHAnsi"/>
          <w:b/>
        </w:rPr>
      </w:pPr>
      <w:r w:rsidRPr="00F2619D">
        <w:rPr>
          <w:rFonts w:cstheme="minorHAnsi"/>
          <w:b/>
        </w:rPr>
        <w:t>Priorita 4 - Propojení aglomerací na spádové metropole</w:t>
      </w:r>
    </w:p>
    <w:p w:rsidR="004E1E3E" w:rsidRPr="00CA7E53" w:rsidRDefault="004E1E3E" w:rsidP="004E1E3E">
      <w:pPr>
        <w:spacing w:before="160" w:after="120"/>
        <w:rPr>
          <w:rFonts w:cstheme="minorHAnsi"/>
          <w:b/>
          <w:sz w:val="24"/>
          <w:szCs w:val="24"/>
        </w:rPr>
      </w:pPr>
      <w:r w:rsidRPr="00CA7E53">
        <w:rPr>
          <w:rFonts w:cstheme="minorHAnsi"/>
          <w:b/>
          <w:sz w:val="24"/>
          <w:szCs w:val="24"/>
        </w:rPr>
        <w:t>Základní potřeby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Českobudějovická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Dokončení IV. TŽK v úseku Praha – České Budějovice dříve než odpovídá cíli TEN-T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Varianta 1: dokončení středočeské části dálnice D3 / varianta 2 dokončení dálnice D4 (4 pruh v úseku Praha – Písek) a modernizace silnice I/20 České Budějovice – Písek v kategorie vystřídaný </w:t>
      </w:r>
      <w:proofErr w:type="spellStart"/>
      <w:r>
        <w:t>třípruh</w:t>
      </w:r>
      <w:proofErr w:type="spellEnd"/>
      <w:r>
        <w:t xml:space="preserve"> bez úrovňových křížení (je nutné i pro vztah České Budějovice – Plzeň). Variantu je nutné vybrat s ohledem na dobu realizace projektu.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Plzeňská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Základní potřeby jsou splněny s výjimkou modernizace úseku tratě Praha – Beroun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Karlovarská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Dokončení dálnice D6 Krušovice – Karlovy Vary dříve než odpovídá cíli TEN-T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Nová trať VRT / RS Praha – Most a modernizace trati Most – Karlovy Vary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Ústecko – chomutovská aglomerace, Mostecko - chomutovská část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Dokončení dálnice D7 Slaný - Postoloprty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Nová trať VRT / RS Praha – Most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Ústecko – chomutovská aglomerace, ústecká část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Základní potřeby jsou splněny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Liberecká a Mladoboleslavská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Nová elektrizovaná, částečně dvoukolejná, železniční trať Lysá n/L – Mladá Boleslav město – Liberec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Hradecko – pardubická aglomerace, Královéhradecká část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Modernizace trati Velký Osek – Hradec Králové (zatím není součástí TEN-T)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Hradecko – pardubická aglomerace, Pardubická část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Základní potřeby jsou splněny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Jihlavská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Dílčí modernizace a elektrizace trati Jihlava – Třebíč – Brno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Modernizace trati Havlíčkův Brod – Jihlava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Olomoucká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Modernizace trati Nezamyslice – Olomouc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lastRenderedPageBreak/>
        <w:t>Zlínská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Modernizace trati Kojetín – Hulín</w:t>
      </w:r>
    </w:p>
    <w:p w:rsidR="004E1E3E" w:rsidRDefault="004E1E3E" w:rsidP="004E1E3E">
      <w:pPr>
        <w:jc w:val="left"/>
        <w:rPr>
          <w:rFonts w:cstheme="minorHAnsi"/>
          <w:b/>
        </w:rPr>
      </w:pPr>
    </w:p>
    <w:p w:rsidR="004E1E3E" w:rsidRPr="0046499C" w:rsidRDefault="004E1E3E" w:rsidP="004E1E3E">
      <w:pPr>
        <w:spacing w:before="160" w:after="120"/>
        <w:rPr>
          <w:rFonts w:cstheme="minorHAnsi"/>
          <w:b/>
        </w:rPr>
      </w:pPr>
      <w:r w:rsidRPr="0046499C">
        <w:rPr>
          <w:rFonts w:cstheme="minorHAnsi"/>
          <w:b/>
        </w:rPr>
        <w:t>Cílové potřeby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Českobudějovická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Nadstavba k IV. TŽK v úseku Praha – Benešov z důvodů zvýšení kapacity tratě a zvýšení rychlosti.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V závislosti na dokončení Berounského (Tachlovického) tunelu (úsek Praha-Smíchov-Beroun, nová trať), modernizace trati Zdice – Písek – Protivín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Dokončení dálnice D3, variantně D4+I/20 </w:t>
      </w:r>
      <w:proofErr w:type="spellStart"/>
      <w:r>
        <w:t>třípruh</w:t>
      </w:r>
      <w:proofErr w:type="spellEnd"/>
      <w:r>
        <w:t xml:space="preserve"> (dle varianty v základních potřebách, je součástí sítě TEN-T).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Plzeňská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 (Berounský (Tachlovický) tunel je součástí sítě TEN-T)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Karlovarská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Ústecko – chomutovská aglomerace, Mostecko - chomutovská část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Ústecko – chomutovská aglomerace, ústecká část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 (VRT je součástí sítě TEN-T)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Liberecká a Mladoboleslavská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Plné </w:t>
      </w:r>
      <w:proofErr w:type="spellStart"/>
      <w:r>
        <w:t>zdvoukolejnění</w:t>
      </w:r>
      <w:proofErr w:type="spellEnd"/>
      <w:r>
        <w:t xml:space="preserve"> tratě a případné dílčí zvyšování rychlosti tratě Praha – Liberec (v případě zajištění realizace v rámci základní potřeby se změní východiska pro výpočet ekonomické efektivity pro cílovou etapu)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Hradecko – pardubická aglomerace, Královéhradecká část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 (VRT je součástí sítě TEN-T)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Hradecko – pardubická aglomerace, Pardubická část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 (VRT je součástí sítě TEN-T)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Jihlavská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 (VRT je součástí sítě TEN-T)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Olomoucká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Zlínská aglomerace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Bez dalších potřeb</w:t>
      </w:r>
    </w:p>
    <w:p w:rsidR="004E1E3E" w:rsidRPr="00F2619D" w:rsidRDefault="004E1E3E" w:rsidP="004E1E3E">
      <w:pPr>
        <w:spacing w:before="160" w:after="120"/>
        <w:rPr>
          <w:rFonts w:cstheme="minorHAnsi"/>
          <w:b/>
        </w:rPr>
      </w:pPr>
      <w:r w:rsidRPr="00F2619D">
        <w:rPr>
          <w:rFonts w:cstheme="minorHAnsi"/>
          <w:b/>
        </w:rPr>
        <w:t>Priorita 5 - Zajištění příměstských vztahů metropolí</w:t>
      </w:r>
    </w:p>
    <w:p w:rsidR="004E1E3E" w:rsidRDefault="004E1E3E" w:rsidP="004E1E3E">
      <w:r>
        <w:t xml:space="preserve">V tomto případě se jedná o zajištění dopravní infrastruktury ve vlastnictví státu, která je důležitá ve vztahu k udržitelné městské mobilitě, zejména pravidelné dojížďky ze </w:t>
      </w:r>
      <w:proofErr w:type="spellStart"/>
      <w:r>
        <w:t>suburbií</w:t>
      </w:r>
      <w:proofErr w:type="spellEnd"/>
      <w:r>
        <w:t xml:space="preserve"> do jádrového města. Řešením není posilovat kapacitu dálniční infrastruktury na příjezdu do města (pokud není nutná z důvodů zajištění dálkového tranzitu), neboť limitem je kapacita uličního prostoru města a kapacita parkovišť </w:t>
      </w:r>
      <w:proofErr w:type="spellStart"/>
      <w:r>
        <w:t>PaR</w:t>
      </w:r>
      <w:proofErr w:type="spellEnd"/>
      <w:r>
        <w:t xml:space="preserve"> u koncových stanic MHD. Zejména v případě hlavního města na základě výstupů SUMP </w:t>
      </w:r>
      <w:r>
        <w:lastRenderedPageBreak/>
        <w:t>„</w:t>
      </w:r>
      <w:proofErr w:type="spellStart"/>
      <w:r>
        <w:t>Polaď</w:t>
      </w:r>
      <w:proofErr w:type="spellEnd"/>
      <w:r>
        <w:t xml:space="preserve"> Prahu“ </w:t>
      </w:r>
      <w:r>
        <w:rPr>
          <w:rStyle w:val="Znakapoznpodarou"/>
        </w:rPr>
        <w:footnoteReference w:id="1"/>
      </w:r>
      <w:r>
        <w:t xml:space="preserve">je zřejmé, že dostatečnou kapacitu pro IAD zajistit nelze. Řešením je budování </w:t>
      </w:r>
      <w:proofErr w:type="spellStart"/>
      <w:r>
        <w:t>PaR</w:t>
      </w:r>
      <w:proofErr w:type="spellEnd"/>
      <w:r>
        <w:t xml:space="preserve"> u železničních stanic daleko v </w:t>
      </w:r>
      <w:proofErr w:type="spellStart"/>
      <w:r>
        <w:t>suburbánní</w:t>
      </w:r>
      <w:proofErr w:type="spellEnd"/>
      <w:r>
        <w:t xml:space="preserve"> oblasti, avšak v tomto případě je již v současnosti problémem vyčerpaná kapacita příměstské železniční dopravy. Hlavní prioritou je proto zvyšování kapacity železničních tahů vedoucích do metropolí. V případě hlavního města je pak zřejmé, že zvýšení kapacity železničního uzlu výstavbou tzv. Nového spojení 2 by mělo být realizováno ve variantě pro příměstskou, a nikoliv pro dálkovou dopravu, neboť užší sepětí příměstské dopravy pro pravidelnou dojížďku je z hlediska udržitelné městské mobility klíčové. Obdobné je to i v případě tzv. Brněnského severojižního diametru.</w:t>
      </w:r>
    </w:p>
    <w:p w:rsidR="004E1E3E" w:rsidRDefault="004E1E3E" w:rsidP="004E1E3E">
      <w:r>
        <w:t xml:space="preserve">V případě silniční infrastruktury má význam na příjezdu do metropolí budovat třetí pruh na silnicích I. – III. třídy. Tento nový pruh by měl být dle místních specifik budován pro směr do města, a to jako vyhrazený autobusový pruh pro příměstské autobusové linky. </w:t>
      </w:r>
      <w:proofErr w:type="spellStart"/>
      <w:r>
        <w:t>Zkapacitňování</w:t>
      </w:r>
      <w:proofErr w:type="spellEnd"/>
      <w:r>
        <w:t xml:space="preserve"> dálniční sítě v bezprostředním okolí metropolí by mělo probíhat za účelem převedení tranzitní dopravy. Proto je vysokou prioritou TEN-T dobudování dálnice D0 v šestipruhovém uspořádání v cílovém stavu.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Hlavní město Praha (nad rámec priorit TEN-T)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Dvoukolejná elektrizovaná železniční trať Praha Ruzyně – Kladno Ostrovec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Zkapacitnění tratě Praha – Benešov (cílová potřeba)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Nové spojení 2 pro příměstskou a městskou dopravu (cílová potřeba)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Další zkapacitnění a elektrizace tratí včetně vybavení terminály </w:t>
      </w:r>
      <w:proofErr w:type="spellStart"/>
      <w:r>
        <w:t>PaR</w:t>
      </w:r>
      <w:proofErr w:type="spellEnd"/>
      <w:r>
        <w:t xml:space="preserve"> (dosažení taktu 15 minut):</w:t>
      </w:r>
    </w:p>
    <w:p w:rsidR="004E1E3E" w:rsidRDefault="004E1E3E" w:rsidP="004E1E3E">
      <w:pPr>
        <w:pStyle w:val="Odstavecseseznamem"/>
        <w:numPr>
          <w:ilvl w:val="2"/>
          <w:numId w:val="5"/>
        </w:numPr>
        <w:spacing w:after="0" w:line="276" w:lineRule="auto"/>
        <w:ind w:left="2154" w:hanging="357"/>
        <w:contextualSpacing w:val="0"/>
      </w:pPr>
      <w:r>
        <w:t>Praha Vysočany – Všetaty</w:t>
      </w:r>
    </w:p>
    <w:p w:rsidR="004E1E3E" w:rsidRDefault="004E1E3E" w:rsidP="004E1E3E">
      <w:pPr>
        <w:pStyle w:val="Odstavecseseznamem"/>
        <w:numPr>
          <w:ilvl w:val="2"/>
          <w:numId w:val="5"/>
        </w:numPr>
        <w:spacing w:after="0" w:line="276" w:lineRule="auto"/>
        <w:ind w:left="2154" w:hanging="357"/>
        <w:contextualSpacing w:val="0"/>
      </w:pPr>
      <w:r>
        <w:t>Praha Smíchov – Rudná u Prahy – Beroun</w:t>
      </w:r>
    </w:p>
    <w:p w:rsidR="004E1E3E" w:rsidRDefault="004E1E3E" w:rsidP="004E1E3E">
      <w:pPr>
        <w:pStyle w:val="Odstavecseseznamem"/>
        <w:numPr>
          <w:ilvl w:val="2"/>
          <w:numId w:val="5"/>
        </w:numPr>
        <w:spacing w:after="0" w:line="276" w:lineRule="auto"/>
        <w:ind w:left="2154" w:hanging="357"/>
        <w:contextualSpacing w:val="0"/>
      </w:pPr>
      <w:r>
        <w:t>Praha – Vrané n / V – Davle, (nutnost prověřit možnosti)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I/12 Praha (D0) – Úvaly, čtyřpruh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 Praha (D0) – Kostelec nad Černými lesy, obchvaty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I/9 Zdiby – Neratovice, vystřídaný </w:t>
      </w:r>
      <w:proofErr w:type="spellStart"/>
      <w:r>
        <w:t>třípruh</w:t>
      </w:r>
      <w:proofErr w:type="spellEnd"/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I/16 Nová Ves (D8) – Slaný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Město Brno (nad rámec priorit TEN-T)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E</w:t>
      </w:r>
      <w:r w:rsidR="009C3CE3">
        <w:t xml:space="preserve">lektrizace a zkapacitnění úseku </w:t>
      </w:r>
      <w:bookmarkStart w:id="6" w:name="_GoBack"/>
      <w:bookmarkEnd w:id="6"/>
      <w:r>
        <w:t>Střelice – Třebíč – (Jihlava) a Střelice -  Ivančice/Moravský Krumlov – (Znojmo)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Elektrizace trati Brno – Kyjov – Moravský Písek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Brněnský severojižní diametr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Město Ostrava (nad rámec priorit TEN-T)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Elektrizace a zkapacitnění tratě Ostrava Kunčice – Frenštát p. R. – (Valašské Meziříčí)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Ostrava </w:t>
      </w:r>
      <w:proofErr w:type="spellStart"/>
      <w:r>
        <w:t>Svinov</w:t>
      </w:r>
      <w:proofErr w:type="spellEnd"/>
      <w:r>
        <w:t xml:space="preserve"> – Opava – Krnov (dokončení elektrizace)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Studénka – Letiště L. Janáčka / Kopřivnice - Štramberk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Frýdlant n/O – Ostravice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I/58 Příbor – Ostrava (bude součástí TEN-T)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I/59 Ostrava – Karviná </w:t>
      </w:r>
    </w:p>
    <w:p w:rsidR="004E1E3E" w:rsidRPr="0046499C" w:rsidRDefault="004E1E3E" w:rsidP="004E1E3E">
      <w:pPr>
        <w:spacing w:before="160" w:after="120"/>
        <w:rPr>
          <w:rFonts w:cstheme="minorHAnsi"/>
          <w:b/>
        </w:rPr>
      </w:pPr>
      <w:r w:rsidRPr="0046499C">
        <w:rPr>
          <w:rFonts w:cstheme="minorHAnsi"/>
          <w:b/>
        </w:rPr>
        <w:t>Priorita 6 - Vzájemné propojení sousedních aglomerací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lastRenderedPageBreak/>
        <w:t>Pardubice – Jihlava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I/37 Pardubice – Ždírec n/D, I/34 Ždírec n/D – Havlíčkův Brod – Humpolec, I/38 Havlíčkův Brod - Jihlava – vybudování obchvatů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Jihlava – České Budějovice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I/34 Humpolec – Pelhřimov, I/19 Pelhřimov – Tábor, 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Optimalizace trati Jihlava – Veselí nad Lužnicí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České Budějovice – Plzeň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I/20 České Budějovice – Plzeň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Železniční trať České Budějovice – Plzeň dle požadavku TEN-T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Plzeň – Karlovy Vary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I/20 Plzeň – Karlovy Vary, vybudování lokálních obchvatů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Železniční spojení pouze po stávající trati přes Cheb, přímější spojení krajských měst v časovém horizontu po roce 2050.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Plzeň – Most / Chomutov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Optimalizace a elektrizace trati Plzeň – Žatec – Chomutov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I/27 Plzeň – Most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Karlovy Vary – Most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I/13 Ostrov – Chomutov, dílčí zkapacitnění s ohledem na citlivé území průlomového údolí Ohře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Most – Ústí n/L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I/13, nová stopa při průchodu Bíliny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Ústí n/L – Liberec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Trať Liberec – Děčín, dílčí zvýšení rychlosti a kapacity, elektrizace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I/13 Děčín – Bílý Kostel n/N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I/13  Děčín – D8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Ústí n/L – Mladá Boleslav</w:t>
      </w:r>
    </w:p>
    <w:p w:rsidR="004E1E3E" w:rsidRPr="00F43139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Mladá Boleslav – Česká Lípa – Děčín, dílčí zvýšení rychlosti a kapacity, elektrizace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I/16 Nová Ves – Mělník – </w:t>
      </w:r>
      <w:proofErr w:type="spellStart"/>
      <w:r>
        <w:t>Bezděčín</w:t>
      </w:r>
      <w:proofErr w:type="spellEnd"/>
      <w:r>
        <w:t xml:space="preserve">, dílčí zkapacitnění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Liberec – Hradec Králové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Čachovice – Nymburk, zkapacitnění, elektrizace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Optimalizace trati Turnov – Stará Paka – Jaroměř (DNSH k D35)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Optimalizace trati Turnov – Jičín – Hradec Králové (DNSH k D35)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I/35 Turnov – Úlibice, vystřídaný </w:t>
      </w:r>
      <w:proofErr w:type="spellStart"/>
      <w:r>
        <w:t>třípruh</w:t>
      </w:r>
      <w:proofErr w:type="spellEnd"/>
      <w:r>
        <w:t xml:space="preserve"> (součást TEN-T)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 35 Úlibice – Hradec Králové (součást TEN-T)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Mladá Boleslav – Hradec Králové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Čachovice – Nymburk,  zkapacitnění , elektrizace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I/38 Poděbrady (D11) – </w:t>
      </w:r>
      <w:proofErr w:type="spellStart"/>
      <w:r>
        <w:t>Bezděčín</w:t>
      </w:r>
      <w:proofErr w:type="spellEnd"/>
      <w:r>
        <w:t>, zkapacitnění, obchvaty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Olomouc – Zlín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D55 Olomouc – Přerov</w:t>
      </w:r>
    </w:p>
    <w:p w:rsidR="004E1E3E" w:rsidRDefault="004E1E3E" w:rsidP="004E1E3E"/>
    <w:p w:rsidR="004E1E3E" w:rsidRPr="00584B5C" w:rsidRDefault="004E1E3E" w:rsidP="004E1E3E">
      <w:pPr>
        <w:pStyle w:val="Titulek"/>
      </w:pPr>
      <w:r w:rsidRPr="004A7F54">
        <w:rPr>
          <w:noProof/>
          <w:lang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1C92B177" wp14:editId="42AED7A8">
            <wp:simplePos x="0" y="0"/>
            <wp:positionH relativeFrom="page">
              <wp:align>center</wp:align>
            </wp:positionH>
            <wp:positionV relativeFrom="paragraph">
              <wp:posOffset>205105</wp:posOffset>
            </wp:positionV>
            <wp:extent cx="4685030" cy="2870200"/>
            <wp:effectExtent l="0" t="0" r="1270" b="6350"/>
            <wp:wrapTopAndBottom/>
            <wp:docPr id="12" name="Obrázek 12" descr="Z:\Projekty 520\Dopravní politika\GEPARDI III\Tvorba\Kniha 8\mapy\Meziagl ž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Projekty 520\Dopravní politika\GEPARDI III\Tvorba\Kniha 8\mapy\Meziagl že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03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Obrázek </w:t>
      </w:r>
      <w:fldSimple w:instr=" SEQ Obrázek \* ARABIC ">
        <w:r>
          <w:rPr>
            <w:noProof/>
          </w:rPr>
          <w:t>2</w:t>
        </w:r>
      </w:fldSimple>
      <w:r w:rsidRPr="00584B5C">
        <w:t xml:space="preserve"> Železniční síť s meziregionálními vazbami</w:t>
      </w:r>
    </w:p>
    <w:p w:rsidR="004E1E3E" w:rsidRDefault="004E1E3E" w:rsidP="004E1E3E">
      <w:pPr>
        <w:jc w:val="center"/>
      </w:pPr>
    </w:p>
    <w:p w:rsidR="004E1E3E" w:rsidRPr="008B25BD" w:rsidRDefault="004E1E3E" w:rsidP="004E1E3E">
      <w:pPr>
        <w:spacing w:before="160" w:after="120"/>
        <w:rPr>
          <w:rFonts w:cstheme="minorHAnsi"/>
          <w:b/>
        </w:rPr>
      </w:pPr>
      <w:r w:rsidRPr="008B25BD">
        <w:rPr>
          <w:rFonts w:cstheme="minorHAnsi"/>
          <w:b/>
        </w:rPr>
        <w:t>Priorita 7 - Další mezinárodní vztahy včetně napojení odlehlých regionů</w:t>
      </w:r>
    </w:p>
    <w:p w:rsidR="004E1E3E" w:rsidRDefault="004E1E3E" w:rsidP="004E1E3E">
      <w:r>
        <w:t>V této kategorii jsou zařazeny další projekty silniční sítě, které jsou důležité k zajištění dalších směrů v rámci mezinárodní dopravy a které jsou rovněž důležité k propojení okrajových regionů nebo dalších center, které nejsou součástí aglomerací ITI.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 xml:space="preserve">I/34, I/19, I/29 Humpolec – Tábor – </w:t>
      </w:r>
      <w:proofErr w:type="gramStart"/>
      <w:r>
        <w:t>Písek (– Plzeň</w:t>
      </w:r>
      <w:proofErr w:type="gramEnd"/>
      <w:r>
        <w:t>), jde o důležitý tah pro tranzitní dopravu ze Slovenska a Maďarska ve směru Bavorsko, který se vyhýbá pražské metropolitní oblasti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I/38 Poděbrady (D11) – Jihlava (D1) – Znojmo – Hatě (st. hr.), jde o propojení dalšího důležitého pohraničního přechodu a o propojení mladoboleslavské průmyslové oblasti s dálnicí D1 mimo pražskou metropolitní oblast, napojení Znojemska do Čech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I/53 Pohořelice – Znojmo, obchvaty, napojení Znojemska na Moravu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Nová železniční trať (Brno) – Unkovice - Znojmo – (Šatov st. hr.), napojení Znojemska na Moravu i do Čech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I/38 Mladá Boleslav – Nový Bor – Rumburk st. hr., modernizace a obchvaty, jde o napojení dalšího pohraničního přechodu, napojení Šluknovského výběžku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KŽ Česká Lípa – Rumburk, napojení Šluknovského výběžku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I/7 Chomutov – Hora sv. Šebestiána st. hr., napojení důležitého pohraničního přechodu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I/34, I/24 České Budějovice – Třeboň – Halámky st. hr., zkapacitnění s obchvaty k napojení důležitého pohraničního přechodu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I/44 Mohelnice – Šumperk – Jeseník – Mikulovice st. hr., obchvaty, v úseku Mohelnice – Šumperk zkapacitnění, napojení Jesenicka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 xml:space="preserve">KŽ Zábřeh na Moravě – </w:t>
      </w:r>
      <w:proofErr w:type="spellStart"/>
      <w:r>
        <w:t>Gluch</w:t>
      </w:r>
      <w:r w:rsidR="00BA058D">
        <w:t>o</w:t>
      </w:r>
      <w:r>
        <w:t>lazy</w:t>
      </w:r>
      <w:proofErr w:type="spellEnd"/>
      <w:r>
        <w:t xml:space="preserve"> st. hr. / Šumperk, napojení Jesenicka</w:t>
      </w:r>
    </w:p>
    <w:p w:rsidR="004E1E3E" w:rsidRDefault="004E1E3E" w:rsidP="004E1E3E">
      <w:pPr>
        <w:jc w:val="center"/>
      </w:pPr>
    </w:p>
    <w:p w:rsidR="004E1E3E" w:rsidRDefault="004E1E3E" w:rsidP="004E1E3E">
      <w:pPr>
        <w:pStyle w:val="Titulek"/>
      </w:pPr>
      <w:r w:rsidRPr="004A7F54">
        <w:rPr>
          <w:noProof/>
          <w:lang w:eastAsia="cs-CZ"/>
        </w:rPr>
        <w:lastRenderedPageBreak/>
        <w:drawing>
          <wp:anchor distT="0" distB="0" distL="114300" distR="114300" simplePos="0" relativeHeight="251661312" behindDoc="0" locked="0" layoutInCell="1" allowOverlap="1" wp14:anchorId="48940F10" wp14:editId="7312BA24">
            <wp:simplePos x="0" y="0"/>
            <wp:positionH relativeFrom="margin">
              <wp:posOffset>571500</wp:posOffset>
            </wp:positionH>
            <wp:positionV relativeFrom="paragraph">
              <wp:posOffset>174625</wp:posOffset>
            </wp:positionV>
            <wp:extent cx="4502150" cy="2786746"/>
            <wp:effectExtent l="0" t="0" r="0" b="0"/>
            <wp:wrapTopAndBottom/>
            <wp:docPr id="13" name="Obrázek 13" descr="Z:\Projekty 520\Dopravní politika\GEPARDI III\Tvorba\Kniha 8\mapy\meziagl s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Projekty 520\Dopravní politika\GEPARDI III\Tvorba\Kniha 8\mapy\meziagl si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78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Obrázek </w:t>
      </w:r>
      <w:fldSimple w:instr=" SEQ Obrázek \* ARABIC ">
        <w:r>
          <w:rPr>
            <w:noProof/>
          </w:rPr>
          <w:t>3</w:t>
        </w:r>
      </w:fldSimple>
      <w:r w:rsidRPr="00584B5C">
        <w:t xml:space="preserve"> Silniční síť s meziregionálními vazbami</w:t>
      </w:r>
    </w:p>
    <w:p w:rsidR="004E1E3E" w:rsidRPr="00CE7D76" w:rsidRDefault="004E1E3E" w:rsidP="004E1E3E">
      <w:pPr>
        <w:spacing w:before="160" w:after="120"/>
        <w:rPr>
          <w:rFonts w:cstheme="minorHAnsi"/>
          <w:b/>
        </w:rPr>
      </w:pPr>
      <w:r w:rsidRPr="00CE7D76">
        <w:rPr>
          <w:rFonts w:cstheme="minorHAnsi"/>
          <w:b/>
        </w:rPr>
        <w:t>Priorita 8 - Zajištění příměstských vztahů u hlavních center aglomerací</w:t>
      </w:r>
    </w:p>
    <w:p w:rsidR="004E1E3E" w:rsidRPr="00516175" w:rsidRDefault="004E1E3E" w:rsidP="004E1E3E">
      <w:r>
        <w:t>Projekty nad rámec sítě TEN-T.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České Budějovice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České Budějovice – Český Krumlov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Plzeň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Zvýšení kapacity tratě Plzeň – Klatovy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Zvýšení kapacity tratě a elektrizace Plzeň – Plasy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Rokycany – Příkosice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Ejpovice – Radnice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I/20, I/27 průtahy Plzní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Karlovy Vary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Karlovy Vary Březová – Karlovy Vary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– Nová Role – Nejdek, posouzení možností dalšího využití pro městskou a příměstskou dopravu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Most / Chomutov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Elektrizace tratě </w:t>
      </w:r>
      <w:proofErr w:type="spellStart"/>
      <w:r>
        <w:t>Prunéřov</w:t>
      </w:r>
      <w:proofErr w:type="spellEnd"/>
      <w:r>
        <w:t xml:space="preserve"> – Kadaň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Elektrizace trati Louka u Litvínova – Litvínov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Posouzení možností využití tratě (Most –) Louka u Litvínova – Hrob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Chomutov – Žatec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Most – Postoloprty – Žatec / Louny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Modernizace silnice I/27 Most – Litvínov, čtyřpruh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Ústí n/L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Nejsou evidovány další projekty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Liberec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Zvýšení rychlosti a elektrizace tratě Liberec – Česká Lípa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Liberec – Hrádek n/N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Liberec – Frýdlant – Nové Město </w:t>
      </w:r>
      <w:proofErr w:type="spellStart"/>
      <w:proofErr w:type="gramStart"/>
      <w:r>
        <w:t>p.S.</w:t>
      </w:r>
      <w:proofErr w:type="spellEnd"/>
      <w:proofErr w:type="gramEnd"/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lastRenderedPageBreak/>
        <w:t xml:space="preserve">KŽ Raspenava – Bílý Potok </w:t>
      </w:r>
      <w:proofErr w:type="spellStart"/>
      <w:proofErr w:type="gramStart"/>
      <w:r>
        <w:t>p.S.</w:t>
      </w:r>
      <w:proofErr w:type="spellEnd"/>
      <w:proofErr w:type="gramEnd"/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Liberec – Rychnov u </w:t>
      </w:r>
      <w:proofErr w:type="spellStart"/>
      <w:proofErr w:type="gramStart"/>
      <w:r>
        <w:t>J.n.</w:t>
      </w:r>
      <w:proofErr w:type="gramEnd"/>
      <w:r>
        <w:t>N</w:t>
      </w:r>
      <w:proofErr w:type="spellEnd"/>
      <w:r>
        <w:t>. (současná trať)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Frýdlant – </w:t>
      </w:r>
      <w:proofErr w:type="spellStart"/>
      <w:r>
        <w:t>Zawidów</w:t>
      </w:r>
      <w:proofErr w:type="spellEnd"/>
      <w:r>
        <w:t xml:space="preserve">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I/13 Krásná Studánka – Albrechtice u Frýdlantu – (Frýdlant), nová dvoupruhová trasa s obchvaty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I/14 Liberec – Desná, vč. průtahu Jabloncem n/N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I/65 </w:t>
      </w:r>
      <w:proofErr w:type="spellStart"/>
      <w:r>
        <w:t>Rádelský</w:t>
      </w:r>
      <w:proofErr w:type="spellEnd"/>
      <w:r>
        <w:t xml:space="preserve"> mlýn – Jablonec n/N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Mladá Boleslav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Zvýšení rychlosti a kapacity tratě Mladá Boleslav město – Sobotka – (Libuň – Jičín)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Mladá Boleslav – Mnichovo Hradiště – Turnov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I/16 přeložka D10 exit 46 – </w:t>
      </w:r>
      <w:proofErr w:type="spellStart"/>
      <w:r>
        <w:t>Martinovice</w:t>
      </w:r>
      <w:proofErr w:type="spellEnd"/>
      <w:r>
        <w:t xml:space="preserve">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Hradec Králové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Zvýšení kapacity tratě Hradec Králové – Jaroměř – Dvůr Králové město vč. elektrizace neelektrizovaných úseků.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Optimalizace a elektrizace trati Jaroměř – Česká Skalice – (Trutnov) vč. propojení </w:t>
      </w:r>
      <w:proofErr w:type="spellStart"/>
      <w:r>
        <w:t>Náchoda</w:t>
      </w:r>
      <w:proofErr w:type="spellEnd"/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Posoudit zvýšení kapacity a rychlosti vč. elektrizace tratě Hradec Králové – Jičín tak, aby bylo možné vedle příměstské a regionální dopravy zavést i spěšné vlaky Hradec Králové – Jičín (součást DNSH opatření k dálnici D35)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I/11 Hradec Králové – Vamberk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Pardubice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Elektrizace a posouzení kapacity tratě Moravany – Holice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Pardubice – Chrudim – Skuteč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I/36 napojení Pardubic na D35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Jihlava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Optimalizace tratě Kostelec u Jihlavy – Slavonice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Pelhřimov – Horní Cerekev – Jihlava – Havlíčkův Brod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Jihlava - Třebíč 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Olomouc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Olomouc – Prostějov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KŽ Olomouc – Uničov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 xml:space="preserve">KŽ Olomouc – Hlubočky 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I/46 Olomouc – Šternberk, obchvaty (včetně Východní tangenty)</w:t>
      </w:r>
    </w:p>
    <w:p w:rsidR="004E1E3E" w:rsidRDefault="004E1E3E" w:rsidP="004E1E3E">
      <w:pPr>
        <w:pStyle w:val="Odstavecseseznamem"/>
        <w:numPr>
          <w:ilvl w:val="1"/>
          <w:numId w:val="9"/>
        </w:numPr>
        <w:spacing w:before="120" w:after="0"/>
        <w:ind w:left="993" w:hanging="284"/>
        <w:contextualSpacing w:val="0"/>
      </w:pPr>
      <w:r>
        <w:t>Zlín</w:t>
      </w:r>
    </w:p>
    <w:p w:rsidR="004E1E3E" w:rsidRDefault="004E1E3E" w:rsidP="004E1E3E">
      <w:pPr>
        <w:pStyle w:val="Odstavecseseznamem"/>
        <w:numPr>
          <w:ilvl w:val="2"/>
          <w:numId w:val="9"/>
        </w:numPr>
        <w:spacing w:after="60"/>
        <w:ind w:left="1701" w:hanging="425"/>
        <w:contextualSpacing w:val="0"/>
      </w:pPr>
      <w:r>
        <w:t>Elektrizace a zkapacitnění trati Otrokovice – Vizovice</w:t>
      </w:r>
    </w:p>
    <w:p w:rsidR="004E1E3E" w:rsidRDefault="004E1E3E" w:rsidP="004E1E3E">
      <w:pPr>
        <w:jc w:val="center"/>
      </w:pPr>
    </w:p>
    <w:p w:rsidR="004E1E3E" w:rsidRPr="008B610E" w:rsidRDefault="004E1E3E" w:rsidP="004E1E3E">
      <w:pPr>
        <w:pStyle w:val="Titulek"/>
      </w:pPr>
      <w:r>
        <w:lastRenderedPageBreak/>
        <w:t xml:space="preserve">Obrázek </w:t>
      </w:r>
      <w:fldSimple w:instr=" SEQ Obrázek \* ARABIC ">
        <w:r>
          <w:rPr>
            <w:noProof/>
          </w:rPr>
          <w:t>4</w:t>
        </w:r>
      </w:fldSimple>
      <w:r w:rsidRPr="004A7F54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307BF569" wp14:editId="1E827A37">
            <wp:simplePos x="0" y="0"/>
            <wp:positionH relativeFrom="margin">
              <wp:align>left</wp:align>
            </wp:positionH>
            <wp:positionV relativeFrom="paragraph">
              <wp:posOffset>205105</wp:posOffset>
            </wp:positionV>
            <wp:extent cx="5177790" cy="3171825"/>
            <wp:effectExtent l="0" t="0" r="3810" b="9525"/>
            <wp:wrapTopAndBottom/>
            <wp:docPr id="20" name="Obrázek 20" descr="Z:\Projekty 520\Dopravní politika\GEPARDI III\Tvorba\Kniha 8\mapy\Ž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Projekty 520\Dopravní politika\GEPARDI III\Tvorba\Kniha 8\mapy\Že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B610E">
        <w:t xml:space="preserve"> Železniční síť s meziregionálními a příměstskými vazbami (prioritní síť ČR)</w:t>
      </w:r>
    </w:p>
    <w:p w:rsidR="004E1E3E" w:rsidRDefault="004E1E3E" w:rsidP="004E1E3E">
      <w:pPr>
        <w:pStyle w:val="TEXT"/>
      </w:pPr>
    </w:p>
    <w:p w:rsidR="004E1E3E" w:rsidRDefault="004E1E3E" w:rsidP="004E1E3E">
      <w:pPr>
        <w:pStyle w:val="Titulek"/>
        <w:spacing w:after="0"/>
      </w:pPr>
    </w:p>
    <w:p w:rsidR="004E1E3E" w:rsidRDefault="004E1E3E" w:rsidP="004E1E3E"/>
    <w:p w:rsidR="004E1E3E" w:rsidRPr="00D77EEB" w:rsidRDefault="004E1E3E" w:rsidP="004E1E3E"/>
    <w:p w:rsidR="004E1E3E" w:rsidRDefault="004E1E3E" w:rsidP="004E1E3E">
      <w:pPr>
        <w:pStyle w:val="Titulek"/>
        <w:spacing w:after="0"/>
      </w:pPr>
    </w:p>
    <w:p w:rsidR="004E1E3E" w:rsidRDefault="004E1E3E" w:rsidP="004E1E3E">
      <w:pPr>
        <w:pStyle w:val="Titulek"/>
        <w:spacing w:after="0"/>
      </w:pPr>
      <w:r w:rsidRPr="003242CD"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0E9744E2" wp14:editId="5C3A4EB8">
            <wp:simplePos x="0" y="0"/>
            <wp:positionH relativeFrom="margin">
              <wp:align>left</wp:align>
            </wp:positionH>
            <wp:positionV relativeFrom="paragraph">
              <wp:posOffset>309245</wp:posOffset>
            </wp:positionV>
            <wp:extent cx="5186680" cy="3209925"/>
            <wp:effectExtent l="0" t="0" r="0" b="9525"/>
            <wp:wrapTopAndBottom/>
            <wp:docPr id="11" name="Obrázek 11" descr="Z:\Projekty 520\Dopravní politika\GEPARDI III\Tvorba\Kniha 8\mapy\Siln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Projekty 520\Dopravní politika\GEPARDI III\Tvorba\Kniha 8\mapy\Silnic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68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Obrázek </w:t>
      </w:r>
      <w:fldSimple w:instr=" SEQ Obrázek \* ARABIC ">
        <w:r>
          <w:rPr>
            <w:noProof/>
          </w:rPr>
          <w:t>5</w:t>
        </w:r>
      </w:fldSimple>
      <w:r w:rsidRPr="008B610E">
        <w:t xml:space="preserve"> </w:t>
      </w:r>
      <w:r>
        <w:t>Silnič</w:t>
      </w:r>
      <w:r w:rsidRPr="008B610E">
        <w:t>ní síť s meziregionálními a příměstskými vazbami (prioritní síť ČR)</w:t>
      </w:r>
    </w:p>
    <w:p w:rsidR="004E1E3E" w:rsidRDefault="004E1E3E" w:rsidP="004E1E3E">
      <w:pPr>
        <w:rPr>
          <w:rFonts w:asciiTheme="majorHAnsi" w:eastAsiaTheme="majorEastAsia" w:hAnsiTheme="majorHAnsi" w:cstheme="majorBidi"/>
          <w:i/>
          <w:iCs/>
          <w:color w:val="1F4E79" w:themeColor="accent1" w:themeShade="80"/>
          <w:sz w:val="20"/>
          <w:szCs w:val="24"/>
        </w:rPr>
      </w:pPr>
      <w:r>
        <w:br w:type="page"/>
      </w:r>
    </w:p>
    <w:p w:rsidR="004E1E3E" w:rsidRPr="008B610E" w:rsidRDefault="004E1E3E" w:rsidP="004E1E3E">
      <w:pPr>
        <w:pStyle w:val="Titulek"/>
      </w:pPr>
      <w:r>
        <w:lastRenderedPageBreak/>
        <w:t xml:space="preserve">Obrázek </w:t>
      </w:r>
      <w:fldSimple w:instr=" SEQ Obrázek \* ARABIC ">
        <w:r>
          <w:rPr>
            <w:noProof/>
          </w:rPr>
          <w:t>6</w:t>
        </w:r>
      </w:fldSimple>
      <w:r w:rsidRPr="003242CD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43EAC0A9" wp14:editId="1FEDE8BD">
            <wp:simplePos x="0" y="0"/>
            <wp:positionH relativeFrom="margin">
              <wp:align>left</wp:align>
            </wp:positionH>
            <wp:positionV relativeFrom="paragraph">
              <wp:posOffset>195580</wp:posOffset>
            </wp:positionV>
            <wp:extent cx="5600700" cy="3429000"/>
            <wp:effectExtent l="0" t="0" r="0" b="0"/>
            <wp:wrapTopAndBottom/>
            <wp:docPr id="14" name="Obrázek 14" descr="Z:\Projekty 520\Dopravní politika\GEPARDI III\Tvorba\Kniha 8\mapy\Ce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Projekty 520\Dopravní politika\GEPARDI III\Tvorba\Kniha 8\mapy\Cele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B610E">
        <w:t xml:space="preserve"> Prioritní síť ČR</w:t>
      </w:r>
    </w:p>
    <w:p w:rsidR="004E1E3E" w:rsidRDefault="004E1E3E" w:rsidP="004E1E3E">
      <w:pPr>
        <w:jc w:val="center"/>
      </w:pPr>
    </w:p>
    <w:p w:rsidR="004E1E3E" w:rsidRDefault="004E1E3E" w:rsidP="004E1E3E">
      <w:pPr>
        <w:jc w:val="center"/>
      </w:pPr>
    </w:p>
    <w:p w:rsidR="004E1E3E" w:rsidRPr="008676A4" w:rsidRDefault="004E1E3E" w:rsidP="00AF41C1">
      <w:pPr>
        <w:pStyle w:val="Nadpis3"/>
        <w:spacing w:before="120" w:after="120" w:line="259" w:lineRule="auto"/>
      </w:pPr>
      <w:bookmarkStart w:id="7" w:name="_Toc113018536"/>
      <w:bookmarkStart w:id="8" w:name="_Toc129358037"/>
      <w:r w:rsidRPr="008676A4">
        <w:t>Pilíř dalších potřeb</w:t>
      </w:r>
      <w:bookmarkEnd w:id="7"/>
      <w:bookmarkEnd w:id="8"/>
    </w:p>
    <w:p w:rsidR="004E1E3E" w:rsidRDefault="004E1E3E" w:rsidP="004E1E3E">
      <w:r>
        <w:t>Jsou stanoveny na základě přípravy projektů správců dopravní infrastruktury včetně námětů pro delší časový horizont, pro které je k dispozici v současnosti pouze omezené množství informací.</w:t>
      </w:r>
      <w:r w:rsidR="00E109E2">
        <w:t xml:space="preserve"> Projekty jsou zařazeny do balíčků.</w:t>
      </w:r>
    </w:p>
    <w:p w:rsidR="00712619" w:rsidRDefault="00712619"/>
    <w:sectPr w:rsidR="0071261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E3E" w:rsidRDefault="004E1E3E" w:rsidP="004E1E3E">
      <w:pPr>
        <w:spacing w:after="0" w:line="240" w:lineRule="auto"/>
      </w:pPr>
      <w:r>
        <w:separator/>
      </w:r>
    </w:p>
  </w:endnote>
  <w:endnote w:type="continuationSeparator" w:id="0">
    <w:p w:rsidR="004E1E3E" w:rsidRDefault="004E1E3E" w:rsidP="004E1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111881"/>
      <w:docPartObj>
        <w:docPartGallery w:val="Page Numbers (Bottom of Page)"/>
        <w:docPartUnique/>
      </w:docPartObj>
    </w:sdtPr>
    <w:sdtEndPr/>
    <w:sdtContent>
      <w:p w:rsidR="00382C48" w:rsidRDefault="00382C4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CE3">
          <w:rPr>
            <w:noProof/>
          </w:rPr>
          <w:t>11</w:t>
        </w:r>
        <w:r>
          <w:fldChar w:fldCharType="end"/>
        </w:r>
      </w:p>
    </w:sdtContent>
  </w:sdt>
  <w:p w:rsidR="00382C48" w:rsidRDefault="00382C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E3E" w:rsidRDefault="004E1E3E" w:rsidP="004E1E3E">
      <w:pPr>
        <w:spacing w:after="0" w:line="240" w:lineRule="auto"/>
      </w:pPr>
      <w:r>
        <w:separator/>
      </w:r>
    </w:p>
  </w:footnote>
  <w:footnote w:type="continuationSeparator" w:id="0">
    <w:p w:rsidR="004E1E3E" w:rsidRDefault="004E1E3E" w:rsidP="004E1E3E">
      <w:pPr>
        <w:spacing w:after="0" w:line="240" w:lineRule="auto"/>
      </w:pPr>
      <w:r>
        <w:continuationSeparator/>
      </w:r>
    </w:p>
  </w:footnote>
  <w:footnote w:id="1">
    <w:p w:rsidR="004E1E3E" w:rsidRDefault="004E1E3E" w:rsidP="004E1E3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proofErr w:type="spellStart"/>
        <w:r>
          <w:rPr>
            <w:rStyle w:val="Hypertextovodkaz"/>
          </w:rPr>
          <w:t>Polaď</w:t>
        </w:r>
        <w:proofErr w:type="spellEnd"/>
        <w:r>
          <w:rPr>
            <w:rStyle w:val="Hypertextovodkaz"/>
          </w:rPr>
          <w:t xml:space="preserve"> Prahu! | Čistou stopou Prahou (cistoustopou.cz)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46E"/>
    <w:multiLevelType w:val="hybridMultilevel"/>
    <w:tmpl w:val="FDC2B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E783D"/>
    <w:multiLevelType w:val="hybridMultilevel"/>
    <w:tmpl w:val="FF34F0D4"/>
    <w:lvl w:ilvl="0" w:tplc="114CD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349E0"/>
    <w:multiLevelType w:val="hybridMultilevel"/>
    <w:tmpl w:val="D6F2B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F4B27"/>
    <w:multiLevelType w:val="hybridMultilevel"/>
    <w:tmpl w:val="A9D601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328D1"/>
    <w:multiLevelType w:val="hybridMultilevel"/>
    <w:tmpl w:val="CB0E9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2566A">
      <w:numFmt w:val="bullet"/>
      <w:lvlText w:val="•"/>
      <w:lvlJc w:val="left"/>
      <w:pPr>
        <w:ind w:left="3225" w:hanging="705"/>
      </w:pPr>
      <w:rPr>
        <w:rFonts w:ascii="Calibri" w:eastAsiaTheme="minorHAnsi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97955"/>
    <w:multiLevelType w:val="hybridMultilevel"/>
    <w:tmpl w:val="A6B4BCDE"/>
    <w:lvl w:ilvl="0" w:tplc="963021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E88E5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61DFB"/>
    <w:multiLevelType w:val="multilevel"/>
    <w:tmpl w:val="1652BFA8"/>
    <w:lvl w:ilvl="0">
      <w:start w:val="1"/>
      <w:numFmt w:val="decimal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468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2525543"/>
    <w:multiLevelType w:val="hybridMultilevel"/>
    <w:tmpl w:val="67FCB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5A70"/>
    <w:multiLevelType w:val="hybridMultilevel"/>
    <w:tmpl w:val="A804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D5A0A"/>
    <w:multiLevelType w:val="hybridMultilevel"/>
    <w:tmpl w:val="0B4E1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3098E"/>
    <w:multiLevelType w:val="hybridMultilevel"/>
    <w:tmpl w:val="879A9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9"/>
  </w:num>
  <w:num w:numId="8">
    <w:abstractNumId w:val="2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533"/>
    <w:rsid w:val="000E578E"/>
    <w:rsid w:val="00382C48"/>
    <w:rsid w:val="004E1E3E"/>
    <w:rsid w:val="00662692"/>
    <w:rsid w:val="00712619"/>
    <w:rsid w:val="008930E7"/>
    <w:rsid w:val="009C3CE3"/>
    <w:rsid w:val="00AF41C1"/>
    <w:rsid w:val="00BA058D"/>
    <w:rsid w:val="00D03533"/>
    <w:rsid w:val="00E1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FD26"/>
  <w15:chartTrackingRefBased/>
  <w15:docId w15:val="{5BF13848-57AF-44A2-BF54-B045FB8B5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1E3E"/>
    <w:pPr>
      <w:spacing w:before="0"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E578E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578E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E578E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E578E"/>
    <w:pPr>
      <w:keepNext/>
      <w:keepLines/>
      <w:spacing w:before="8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E578E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E578E"/>
    <w:pPr>
      <w:keepNext/>
      <w:keepLines/>
      <w:spacing w:before="8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E578E"/>
    <w:pPr>
      <w:keepNext/>
      <w:keepLines/>
      <w:spacing w:before="8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78E"/>
    <w:pPr>
      <w:keepNext/>
      <w:keepLines/>
      <w:spacing w:before="8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78E"/>
    <w:pPr>
      <w:keepNext/>
      <w:keepLines/>
      <w:spacing w:before="8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578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0E578E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0E578E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578E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578E"/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578E"/>
    <w:rPr>
      <w:rFonts w:asciiTheme="majorHAnsi" w:eastAsiaTheme="majorEastAsia" w:hAnsiTheme="majorHAnsi" w:cstheme="majorBidi"/>
      <w:color w:val="833C0B" w:themeColor="accent2" w:themeShade="8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578E"/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paragraph" w:styleId="Titulek">
    <w:name w:val="caption"/>
    <w:basedOn w:val="Normln"/>
    <w:next w:val="Normln"/>
    <w:uiPriority w:val="35"/>
    <w:unhideWhenUsed/>
    <w:qFormat/>
    <w:rsid w:val="000E578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0E578E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0E578E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578E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578E"/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0E578E"/>
    <w:rPr>
      <w:b/>
      <w:bCs/>
    </w:rPr>
  </w:style>
  <w:style w:type="character" w:styleId="Zdraznn">
    <w:name w:val="Emphasis"/>
    <w:basedOn w:val="Standardnpsmoodstavce"/>
    <w:uiPriority w:val="20"/>
    <w:qFormat/>
    <w:rsid w:val="000E578E"/>
    <w:rPr>
      <w:i/>
      <w:iCs/>
      <w:color w:val="000000" w:themeColor="text1"/>
    </w:rPr>
  </w:style>
  <w:style w:type="paragraph" w:styleId="Bezmezer">
    <w:name w:val="No Spacing"/>
    <w:uiPriority w:val="1"/>
    <w:qFormat/>
    <w:rsid w:val="000E578E"/>
    <w:pPr>
      <w:spacing w:line="240" w:lineRule="auto"/>
    </w:pPr>
    <w:rPr>
      <w:rFonts w:eastAsiaTheme="minorEastAsia"/>
      <w:sz w:val="21"/>
      <w:szCs w:val="21"/>
    </w:rPr>
  </w:style>
  <w:style w:type="paragraph" w:styleId="Citt">
    <w:name w:val="Quote"/>
    <w:basedOn w:val="Normln"/>
    <w:next w:val="Normln"/>
    <w:link w:val="CittChar"/>
    <w:uiPriority w:val="29"/>
    <w:qFormat/>
    <w:rsid w:val="000E578E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0E578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578E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578E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0E578E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0E578E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0E578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0E578E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0E578E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578E"/>
    <w:pPr>
      <w:outlineLvl w:val="9"/>
    </w:pPr>
  </w:style>
  <w:style w:type="paragraph" w:styleId="Odstavecseseznamem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Nad"/>
    <w:basedOn w:val="Normln"/>
    <w:link w:val="OdstavecseseznamemChar"/>
    <w:uiPriority w:val="34"/>
    <w:qFormat/>
    <w:rsid w:val="004E1E3E"/>
    <w:pPr>
      <w:ind w:left="720"/>
      <w:contextualSpacing/>
    </w:pPr>
  </w:style>
  <w:style w:type="paragraph" w:customStyle="1" w:styleId="TEXT">
    <w:name w:val="_TEXT"/>
    <w:basedOn w:val="Normln"/>
    <w:qFormat/>
    <w:rsid w:val="004E1E3E"/>
    <w:pPr>
      <w:spacing w:before="120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 Char,Char,Text pozn. pod čarou1,Char Char Char1,Char Char1,Footnote Text Char1,Text poznámky pod čiarou 007"/>
    <w:basedOn w:val="Normln"/>
    <w:link w:val="TextpoznpodarouChar"/>
    <w:uiPriority w:val="99"/>
    <w:unhideWhenUsed/>
    <w:rsid w:val="004E1E3E"/>
    <w:pPr>
      <w:spacing w:before="120"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,Text poznámky pod čiarou 007 Char"/>
    <w:basedOn w:val="Standardnpsmoodstavce"/>
    <w:link w:val="Textpoznpodarou"/>
    <w:uiPriority w:val="99"/>
    <w:rsid w:val="004E1E3E"/>
    <w:rPr>
      <w:rFonts w:ascii="Times New Roman" w:hAnsi="Times New Roman"/>
      <w:sz w:val="20"/>
      <w:szCs w:val="20"/>
    </w:rPr>
  </w:style>
  <w:style w:type="character" w:styleId="Znakapoznpodarou">
    <w:name w:val="footnote reference"/>
    <w:aliases w:val="BVI fnr,Footnote symbol"/>
    <w:basedOn w:val="Standardnpsmoodstavce"/>
    <w:uiPriority w:val="99"/>
    <w:unhideWhenUsed/>
    <w:rsid w:val="004E1E3E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E1E3E"/>
    <w:rPr>
      <w:color w:val="0000FF"/>
      <w:u w:val="single"/>
    </w:rPr>
  </w:style>
  <w:style w:type="character" w:customStyle="1" w:styleId="OdstavecseseznamemChar">
    <w:name w:val="Odstavec se seznamem Char"/>
    <w:aliases w:val="List Paragraph compact Char,Normal bullet 2 Char,Paragraphe de liste 2 Char,Reference list Char,Bullet list Char,Numbered List Char,List Paragraph1 Char,1st level - Bullet List Paragraph Char,Lettre d'introduction Char,Nad Char"/>
    <w:link w:val="Odstavecseseznamem"/>
    <w:uiPriority w:val="34"/>
    <w:qFormat/>
    <w:locked/>
    <w:rsid w:val="004E1E3E"/>
    <w:rPr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38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2C48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8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2C4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istoustopou.cz/cista-mobilita/clanek/polad-prahu-14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2512</Words>
  <Characters>14823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Sedmidubský Vít Ing.</dc:creator>
  <cp:keywords/>
  <dc:description/>
  <cp:lastModifiedBy>Eyblová Dita Ing.</cp:lastModifiedBy>
  <cp:revision>8</cp:revision>
  <dcterms:created xsi:type="dcterms:W3CDTF">2023-03-16T15:10:00Z</dcterms:created>
  <dcterms:modified xsi:type="dcterms:W3CDTF">2023-06-28T07:59:00Z</dcterms:modified>
</cp:coreProperties>
</file>